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ind w:right="-15"/>
      </w:pPr>
      <w:r w:rsidRPr="00000000" w:rsidR="00000000" w:rsidDel="00000000">
        <w:rPr>
          <w:rtl w:val="0"/>
        </w:rPr>
      </w:r>
    </w:p>
    <w:tbl>
      <w:tblPr>
        <w:tblW w:w="11400.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1665"/>
        <w:gridCol w:w="9735"/>
        <w:gridCol w:w="11"/>
        <w:gridCol w:w="11"/>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db</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Burrell bookends her work with a “counterpoint to arguments for the liberatory potential of the Internet via its immateriality, an old argument now resurfacing in some of the recent discussions about the Internet as a critical tool of socioeconomic development... (P.199)” While I thought “Invisible Users” was an excellent book, I am left wondering why we had to go to Ghana to come to that conclusion. While I recognize that is not the only, or even the primary, conclusion Burrell draws, I think it would be fruitful to consider what aspects of Accra’s Internet Cafes highlights the materiality of networks. Is it just the second hand computers and ewaste streams? Are Ghanaian’s tenuous connections to the Internet what makes this claim so obvious? Or is it something else? Burrell seems to put these considerations as the main reasons for re-asserting materiality but I tend to favor the local “middle range” reconceptualization of the Internet as the more salient characteristic of materiality. The fact that the Internet is interpreted differently and is seen as a much different “place” is --to me anyway-- a much more interesting premise. While that conclusion requires a comparative analysis that is not the “unmarked category” of affluent Western Internet users, we might be able to make similar conclusions in inner city schools, open source communities, organizations that are advocates for the differently abled, and the elderly. </w:t>
            </w:r>
          </w:p>
          <w:p w:rsidP="00000000" w:rsidRPr="00000000" w:rsidR="00000000" w:rsidDel="00000000" w:rsidRDefault="00000000">
            <w:pPr>
              <w:spacing w:lineRule="auto" w:after="0" w:line="240" w:before="0"/>
              <w:ind w:left="0" w:firstLine="0" w:right="-15"/>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Pedro</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rFonts w:cs="Times New Roman" w:hAnsi="Times New Roman" w:eastAsia="Times New Roman" w:ascii="Times New Roman"/>
                <w:color w:val="222222"/>
                <w:highlight w:val="none"/>
                <w:rtl w:val="0"/>
              </w:rPr>
              <w:t xml:space="preserve">Burrell tries to move away from a notion of materiality as hard and durable and oral culture as soft and fleeting seemed refreshing, and identifies this distinction as a problem with ANT and the material turn in social theory more broadly. Should we probe a little deeper into the way she positions her study in relation to the “material turn” or ANT in general, and her critique of “symmetry” in the treatment of human and non-human actors in particular? If she is right about the tendency for ANT to distrust language (or at least certain aspects of language), what does that say about the limits of that method for understanding the relationship between race, science, and technology?</w:t>
            </w:r>
          </w:p>
          <w:p w:rsidP="00000000" w:rsidRPr="00000000" w:rsidR="00000000" w:rsidDel="00000000" w:rsidRDefault="00000000">
            <w:pPr>
              <w:spacing w:lineRule="auto" w:after="0" w:line="240" w:before="0"/>
              <w:ind w:left="0" w:firstLine="0" w:right="-15"/>
            </w:pPr>
            <w:r w:rsidRPr="00000000" w:rsidR="00000000" w:rsidDel="00000000">
              <w:rPr>
                <w:rFonts w:cs="Times New Roman" w:hAnsi="Times New Roman" w:eastAsia="Times New Roman" w:ascii="Times New Roman"/>
                <w:color w:val="222222"/>
                <w:highlight w:val="none"/>
                <w:rtl w:val="0"/>
              </w:rPr>
              <w:t xml:space="preserve"> </w:t>
            </w:r>
          </w:p>
          <w:p w:rsidP="00000000" w:rsidRPr="00000000" w:rsidR="00000000" w:rsidDel="00000000" w:rsidRDefault="00000000">
            <w:pPr>
              <w:spacing w:lineRule="auto" w:after="0" w:line="240" w:before="0"/>
              <w:ind w:left="0" w:firstLine="0" w:right="-15"/>
            </w:pPr>
            <w:r w:rsidRPr="00000000" w:rsidR="00000000" w:rsidDel="00000000">
              <w:rPr>
                <w:rFonts w:cs="Times New Roman" w:hAnsi="Times New Roman" w:eastAsia="Times New Roman" w:ascii="Times New Roman"/>
                <w:color w:val="222222"/>
                <w:highlight w:val="none"/>
                <w:rtl w:val="0"/>
              </w:rPr>
              <w:t xml:space="preserve">Finally, she points out some very big flaws in the “triadic model” in user studies, at least in many contexts. Is this indicative of a broader problem of STS—focusing primarily on Europe, the U.S., and a few other geographies, thus completely ignoring or misapplying certain problematics when it does travel or work on “the global?” I have a hunch that STS is traveling a bit more now days—how is this changing the discipline? Or is this a totally unfair criticism of the discipline?</w:t>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 </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Colin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Burrell frames her work as making at least two important breaks, one with the Western fantasy/projection of Africa, and the other with “weak materiality,” her critique of what might be called semiotically-oriented ethnography (e.g. informed primarily by symbolic interactionism, etc). I’m completely unfamiliar with the first, so I’ll take up the second. She says that “To get beyond a weak materiality we must consider instead a deeper entanglement whereby the novel constitution of the social takes place through the refractions of the material,” and “The strong materiality I argue for goes a step further to consider how the regularities of different forms become socially consequential,” which sound like good steps in the right direction. I was impressed with this critique and curious as to how this innovative-sounding approach would play out. I’ll be honest: it was muddling-to-downhill from there – in terms of innovation-in-approach. Definitely some good ethnography; beautiful account of the Spiral of Sites (p20), the map of the spaces through which she planned to move, from mirco to macro. (But again, here she made a lot of the potential novelty…) But it didn’t quite click for me what “strong materiality” was doing here. For example, the passage on 83 reveals the problems with her strong materiality when examining speech</w:t>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In her “conclusion” to chapter 4, Burrell remarks, “Through the analysis of rumors this chapter has considered some larger issues of how language is materialized, how it registers a consequential force in speech performances, and to what ends.” What to make of her “strong materialist” account of language? What’s different about it? What do we get from this that is missing, more importantly, lacking from other types of accounts we’ve read?</w:t>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Is it disingenuous for someone to explicitly target the shortsymbolic/semiotic analysis to conclude, “The potency of words, their ability to supplant direct experience in this case, challenged the notion that physically manipulating technology was necessarily weightier, more material, and thus more believable or more consequential than speaking about technology,”? (103).</w:t>
            </w:r>
          </w:p>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Interesting materiality </w:t>
            </w:r>
            <w:hyperlink r:id="rId5">
              <w:r w:rsidRPr="00000000" w:rsidR="00000000" w:rsidDel="00000000">
                <w:rPr>
                  <w:color w:val="1155cc"/>
                  <w:highlight w:val="none"/>
                  <w:u w:val="single"/>
                  <w:rtl w:val="0"/>
                </w:rPr>
                <w:t xml:space="preserve">here</w:t>
              </w:r>
            </w:hyperlink>
            <w:r w:rsidRPr="00000000" w:rsidR="00000000" w:rsidDel="00000000">
              <w:rPr>
                <w:highlight w:val="none"/>
                <w:rtl w:val="0"/>
              </w:rPr>
              <w:t xml:space="preserve">.</w:t>
            </w:r>
          </w:p>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Also, find Nigerian scams running in Troy </w:t>
            </w:r>
            <w:hyperlink r:id="rId6">
              <w:r w:rsidRPr="00000000" w:rsidR="00000000" w:rsidDel="00000000">
                <w:rPr>
                  <w:color w:val="1155cc"/>
                  <w:highlight w:val="none"/>
                  <w:u w:val="single"/>
                  <w:rtl w:val="0"/>
                </w:rPr>
                <w:t xml:space="preserve">here</w:t>
              </w:r>
            </w:hyperlink>
            <w:r w:rsidRPr="00000000" w:rsidR="00000000" w:rsidDel="00000000">
              <w:rPr>
                <w:highlight w:val="none"/>
                <w:rtl w:val="0"/>
              </w:rPr>
              <w:t xml:space="preserve">.</w:t>
            </w:r>
          </w:p>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This is the Nigerian scam-letter I received upon inquiry into a property in Troy via Craigslist:</w:t>
            </w:r>
          </w:p>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rFonts w:cs="Times New Roman" w:hAnsi="Times New Roman" w:eastAsia="Times New Roman" w:ascii="Times New Roman"/>
                <w:color w:val="222222"/>
                <w:sz w:val="24"/>
                <w:highlight w:val="white"/>
                <w:rtl w:val="0"/>
              </w:rPr>
              <w:t xml:space="preserve">My Dear</w:t>
            </w:r>
          </w:p>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rFonts w:cs="Times New Roman" w:hAnsi="Times New Roman" w:eastAsia="Times New Roman" w:ascii="Times New Roman"/>
                <w:color w:val="222222"/>
                <w:sz w:val="24"/>
                <w:highlight w:val="white"/>
                <w:rtl w:val="0"/>
              </w:rPr>
              <w:t xml:space="preserve">How are you doing today, Hope great. My family and I sends our heartfelt appreciation and warmth greetings to you.We went through your application and Most especially your mail, You gave us an inner peace of Mind that really got us going. Your Re-assuring mail that our home will be taken care of well as if it were yours is something that makes me want to </w:t>
            </w:r>
            <w:r w:rsidRPr="00000000" w:rsidR="00000000" w:rsidDel="00000000">
              <w:rPr>
                <w:rFonts w:cs="Times New Roman" w:hAnsi="Times New Roman" w:eastAsia="Times New Roman" w:ascii="Times New Roman"/>
                <w:color w:val="222222"/>
                <w:sz w:val="24"/>
                <w:rtl w:val="0"/>
              </w:rPr>
              <w:t xml:space="preserve">rent</w:t>
            </w:r>
            <w:r w:rsidRPr="00000000" w:rsidR="00000000" w:rsidDel="00000000">
              <w:rPr>
                <w:rFonts w:cs="Times New Roman" w:hAnsi="Times New Roman" w:eastAsia="Times New Roman" w:ascii="Times New Roman"/>
                <w:color w:val="222222"/>
                <w:sz w:val="24"/>
                <w:highlight w:val="white"/>
                <w:rtl w:val="0"/>
              </w:rPr>
              <w:t xml:space="preserve"> to you.To sustain the Life we do not really require much. It takes only a little food,something to wear and a place to" lie down". The rich might have an abundance of this things,and the poor may have to struggle to obtain what they need.What difference there is, however, is equalized when life comes to its end-everything comes to naught.(Eccl.9:5,6).Thus Life to have meaning and worth, it cannot and should not simply consist of things that one can acquire or possess.Whether we are rich or poor,we do not have complete control over how long we may live or whether we will even be alive tomorrow. The bible clearly shows that Only God alone is the source of life and only he can grant faithful ones the real life or everlasting life without end in Heaven.</w:t>
            </w:r>
          </w:p>
          <w:p w:rsidP="00000000" w:rsidRPr="00000000" w:rsidR="00000000" w:rsidDel="00000000" w:rsidRDefault="00000000">
            <w:pPr>
              <w:spacing w:lineRule="auto" w:after="0" w:line="240" w:before="0"/>
              <w:ind w:left="0" w:firstLine="0" w:right="-15"/>
            </w:pPr>
            <w:r w:rsidRPr="00000000" w:rsidR="00000000" w:rsidDel="00000000">
              <w:rPr>
                <w:rFonts w:cs="Times New Roman" w:hAnsi="Times New Roman" w:eastAsia="Times New Roman" w:ascii="Times New Roman"/>
                <w:color w:val="222222"/>
                <w:sz w:val="24"/>
                <w:highlight w:val="white"/>
                <w:rtl w:val="0"/>
              </w:rPr>
              <w:t xml:space="preserve"> </w:t>
            </w:r>
          </w:p>
          <w:p w:rsidP="00000000" w:rsidRPr="00000000" w:rsidR="00000000" w:rsidDel="00000000" w:rsidRDefault="00000000">
            <w:pPr>
              <w:spacing w:lineRule="auto" w:after="0" w:line="240" w:before="0"/>
              <w:ind w:left="0" w:firstLine="0" w:right="-15"/>
            </w:pPr>
            <w:r w:rsidRPr="00000000" w:rsidR="00000000" w:rsidDel="00000000">
              <w:rPr>
                <w:rFonts w:cs="Times New Roman" w:hAnsi="Times New Roman" w:eastAsia="Times New Roman" w:ascii="Times New Roman"/>
                <w:color w:val="222222"/>
                <w:sz w:val="24"/>
                <w:highlight w:val="white"/>
                <w:rtl w:val="0"/>
              </w:rPr>
              <w:t xml:space="preserve">You are just an accurate example of the fulfillment of psalm 23..which God has promised to make you lie down in grassy pastures and he further says :By well watered resting places He shall conduct you, verse 6 says surely Goodness and mercy shall follow you all the days of your life; And you will dwell in the house of the lord forever and ever.</w:t>
            </w:r>
          </w:p>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rFonts w:cs="Times New Roman" w:hAnsi="Times New Roman" w:eastAsia="Times New Roman" w:ascii="Times New Roman"/>
                <w:color w:val="222222"/>
                <w:sz w:val="24"/>
                <w:highlight w:val="white"/>
                <w:rtl w:val="0"/>
              </w:rPr>
              <w:t xml:space="preserve">The Entrance keys and Documents will be sent down to you Via DHL mailing service to the address you gave to me in the Application Form and you will receive it Next day after shipment, because DHL deliver 24 hours, so that you can move in, you will have to make your Security deposit to secure the house, so that we can ship the house keys and documents down to you at the confirmation of payment. You will be using Money Gram to pay your </w:t>
            </w:r>
            <w:r w:rsidRPr="00000000" w:rsidR="00000000" w:rsidDel="00000000">
              <w:rPr>
                <w:rFonts w:cs="Times New Roman" w:hAnsi="Times New Roman" w:eastAsia="Times New Roman" w:ascii="Times New Roman"/>
                <w:color w:val="222222"/>
                <w:sz w:val="24"/>
                <w:rtl w:val="0"/>
              </w:rPr>
              <w:t xml:space="preserve">rent</w:t>
            </w:r>
            <w:r w:rsidRPr="00000000" w:rsidR="00000000" w:rsidDel="00000000">
              <w:rPr>
                <w:rFonts w:cs="Times New Roman" w:hAnsi="Times New Roman" w:eastAsia="Times New Roman" w:ascii="Times New Roman"/>
                <w:color w:val="222222"/>
                <w:sz w:val="24"/>
                <w:highlight w:val="white"/>
                <w:rtl w:val="0"/>
              </w:rPr>
              <w:t xml:space="preserve"> until we are able to come down and open an account for the </w:t>
            </w:r>
            <w:r w:rsidRPr="00000000" w:rsidR="00000000" w:rsidDel="00000000">
              <w:rPr>
                <w:rFonts w:cs="Times New Roman" w:hAnsi="Times New Roman" w:eastAsia="Times New Roman" w:ascii="Times New Roman"/>
                <w:color w:val="222222"/>
                <w:sz w:val="24"/>
                <w:rtl w:val="0"/>
              </w:rPr>
              <w:t xml:space="preserve">rent</w:t>
            </w:r>
            <w:r w:rsidRPr="00000000" w:rsidR="00000000" w:rsidDel="00000000">
              <w:rPr>
                <w:rFonts w:cs="Times New Roman" w:hAnsi="Times New Roman" w:eastAsia="Times New Roman" w:ascii="Times New Roman"/>
                <w:color w:val="222222"/>
                <w:sz w:val="24"/>
                <w:highlight w:val="white"/>
                <w:rtl w:val="0"/>
              </w:rPr>
              <w:t xml:space="preserve"> to be paid into. If we agree to </w:t>
            </w:r>
            <w:r w:rsidRPr="00000000" w:rsidR="00000000" w:rsidDel="00000000">
              <w:rPr>
                <w:rFonts w:cs="Times New Roman" w:hAnsi="Times New Roman" w:eastAsia="Times New Roman" w:ascii="Times New Roman"/>
                <w:color w:val="222222"/>
                <w:sz w:val="24"/>
                <w:rtl w:val="0"/>
              </w:rPr>
              <w:t xml:space="preserve">rent</w:t>
            </w:r>
            <w:r w:rsidRPr="00000000" w:rsidR="00000000" w:rsidDel="00000000">
              <w:rPr>
                <w:rFonts w:cs="Times New Roman" w:hAnsi="Times New Roman" w:eastAsia="Times New Roman" w:ascii="Times New Roman"/>
                <w:color w:val="222222"/>
                <w:sz w:val="24"/>
                <w:highlight w:val="white"/>
                <w:rtl w:val="0"/>
              </w:rPr>
              <w:t xml:space="preserve"> to you, we will provide you with the information where you should make out your deposit so we can commence the shipment of the house keys and documents.</w:t>
            </w:r>
          </w:p>
          <w:p w:rsidP="00000000" w:rsidRPr="00000000" w:rsidR="00000000" w:rsidDel="00000000" w:rsidRDefault="00000000">
            <w:pPr>
              <w:spacing w:lineRule="auto" w:after="0" w:line="240" w:before="0"/>
              <w:ind w:left="0" w:firstLine="0" w:right="-15"/>
            </w:pPr>
            <w:r w:rsidRPr="00000000" w:rsidR="00000000" w:rsidDel="00000000">
              <w:rPr>
                <w:rFonts w:cs="Times New Roman" w:hAnsi="Times New Roman" w:eastAsia="Times New Roman" w:ascii="Times New Roman"/>
                <w:color w:val="222222"/>
                <w:sz w:val="24"/>
                <w:highlight w:val="white"/>
                <w:rtl w:val="0"/>
              </w:rPr>
              <w:t xml:space="preserve"> </w:t>
            </w:r>
          </w:p>
          <w:p w:rsidP="00000000" w:rsidRPr="00000000" w:rsidR="00000000" w:rsidDel="00000000" w:rsidRDefault="00000000">
            <w:pPr>
              <w:spacing w:lineRule="auto" w:after="0" w:line="240" w:before="0"/>
              <w:ind w:left="0" w:firstLine="0" w:right="-15"/>
            </w:pPr>
            <w:r w:rsidRPr="00000000" w:rsidR="00000000" w:rsidDel="00000000">
              <w:rPr>
                <w:rFonts w:cs="Times New Roman" w:hAnsi="Times New Roman" w:eastAsia="Times New Roman" w:ascii="Times New Roman"/>
                <w:color w:val="222222"/>
                <w:sz w:val="24"/>
                <w:highlight w:val="white"/>
                <w:rtl w:val="0"/>
              </w:rPr>
              <w:t xml:space="preserve">We are considering </w:t>
            </w:r>
            <w:r w:rsidRPr="00000000" w:rsidR="00000000" w:rsidDel="00000000">
              <w:rPr>
                <w:rFonts w:cs="Times New Roman" w:hAnsi="Times New Roman" w:eastAsia="Times New Roman" w:ascii="Times New Roman"/>
                <w:color w:val="222222"/>
                <w:sz w:val="24"/>
                <w:rtl w:val="0"/>
              </w:rPr>
              <w:t xml:space="preserve">renting</w:t>
            </w:r>
            <w:r w:rsidRPr="00000000" w:rsidR="00000000" w:rsidDel="00000000">
              <w:rPr>
                <w:rFonts w:cs="Times New Roman" w:hAnsi="Times New Roman" w:eastAsia="Times New Roman" w:ascii="Times New Roman"/>
                <w:color w:val="222222"/>
                <w:sz w:val="24"/>
                <w:highlight w:val="white"/>
                <w:rtl w:val="0"/>
              </w:rPr>
              <w:t xml:space="preserve"> to you, due to your manner of approach and prompt attitude in getting things done. Let us know if you are financially ready to secure the house now for your move in, so that we can conclude and know if we will be </w:t>
            </w:r>
            <w:r w:rsidRPr="00000000" w:rsidR="00000000" w:rsidDel="00000000">
              <w:rPr>
                <w:rFonts w:cs="Times New Roman" w:hAnsi="Times New Roman" w:eastAsia="Times New Roman" w:ascii="Times New Roman"/>
                <w:color w:val="222222"/>
                <w:sz w:val="24"/>
                <w:rtl w:val="0"/>
              </w:rPr>
              <w:t xml:space="preserve">renting</w:t>
            </w:r>
            <w:r w:rsidRPr="00000000" w:rsidR="00000000" w:rsidDel="00000000">
              <w:rPr>
                <w:rFonts w:cs="Times New Roman" w:hAnsi="Times New Roman" w:eastAsia="Times New Roman" w:ascii="Times New Roman"/>
                <w:color w:val="222222"/>
                <w:sz w:val="24"/>
                <w:highlight w:val="white"/>
                <w:rtl w:val="0"/>
              </w:rPr>
              <w:t xml:space="preserve"> to you.</w:t>
            </w:r>
          </w:p>
          <w:p w:rsidP="00000000" w:rsidRPr="00000000" w:rsidR="00000000" w:rsidDel="00000000" w:rsidRDefault="00000000">
            <w:pPr>
              <w:spacing w:lineRule="auto" w:after="0" w:line="240" w:before="0"/>
              <w:ind w:left="0" w:firstLine="0" w:right="-15"/>
            </w:pPr>
            <w:r w:rsidRPr="00000000" w:rsidR="00000000" w:rsidDel="00000000">
              <w:rPr>
                <w:rFonts w:cs="Times New Roman" w:hAnsi="Times New Roman" w:eastAsia="Times New Roman" w:ascii="Times New Roman"/>
                <w:color w:val="222222"/>
                <w:sz w:val="24"/>
                <w:highlight w:val="white"/>
                <w:rtl w:val="0"/>
              </w:rPr>
              <w:t xml:space="preserve"> </w:t>
            </w:r>
          </w:p>
          <w:p w:rsidP="00000000" w:rsidRPr="00000000" w:rsidR="00000000" w:rsidDel="00000000" w:rsidRDefault="00000000">
            <w:pPr>
              <w:spacing w:lineRule="auto" w:after="0" w:line="240" w:before="0"/>
              <w:ind w:left="0" w:firstLine="0" w:right="-15"/>
            </w:pPr>
            <w:r w:rsidRPr="00000000" w:rsidR="00000000" w:rsidDel="00000000">
              <w:rPr>
                <w:rFonts w:cs="Times New Roman" w:hAnsi="Times New Roman" w:eastAsia="Times New Roman" w:ascii="Times New Roman"/>
                <w:color w:val="222222"/>
                <w:sz w:val="24"/>
                <w:highlight w:val="white"/>
                <w:rtl w:val="0"/>
              </w:rPr>
              <w:t xml:space="preserve">We expect to read from you soonest.  </w:t>
            </w:r>
          </w:p>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rFonts w:cs="Times New Roman" w:hAnsi="Times New Roman" w:eastAsia="Times New Roman" w:ascii="Times New Roman"/>
                <w:color w:val="222222"/>
                <w:sz w:val="24"/>
                <w:highlight w:val="white"/>
                <w:rtl w:val="0"/>
              </w:rPr>
              <w:t xml:space="preserve">Remain Blessed</w:t>
            </w:r>
          </w:p>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Dan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Digging into a particular corner of the book, I find chapter 3 particularly interesting in two different ways.</w:t>
            </w:r>
          </w:p>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First, there is a fascinating discussion of the importance of understanding the practices of Ghanania youth interacting with non-africans in the context of materiality. Burrell brings to our attention the fact that the situation of public use, pay by the hour connections (which can be quite steep), and the interface of the desktop via grey market, create an environment for understanding the online strategies in relation to chatting and to scamming. In the case of chatting, it forces a truncated amount of time before seeking intimacy and connection, but this was fraught with the awareness that failing appropriate social behavior could lead to the termination of connection. In the case of scammers, an awareness that they had a limited time to engage their marks meant innovating strategies that relied on short bursts over wide amount of emails in the hopes of getting responses.</w:t>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What this seems to develop into is the sort of hybrid strategy between these two of in the come-and-marry approach. All of that is to say is the the mode in which we communicate intimacy (and by extension, con each other in the literal sense) is not merely as the sort of 'brain in a jar' selves that we would get from Castell's early account of the internet.</w:t>
            </w:r>
          </w:p>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pPr>
            <w:hyperlink r:id="rId7">
              <w:r w:rsidRPr="00000000" w:rsidR="00000000" w:rsidDel="00000000">
                <w:rPr>
                  <w:color w:val="1155cc"/>
                  <w:highlight w:val="none"/>
                  <w:u w:val="single"/>
                  <w:rtl w:val="0"/>
                </w:rPr>
                <w:t xml:space="preserve">Ze Frank performs one of these 419</w:t>
              </w:r>
            </w:hyperlink>
            <w:r w:rsidRPr="00000000" w:rsidR="00000000" w:rsidDel="00000000">
              <w:rPr>
                <w:highlight w:val="none"/>
                <w:rtl w:val="0"/>
              </w:rPr>
              <w:t xml:space="preserve">s at 1:55 - 4:20</w:t>
            </w:r>
          </w:p>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Secondly, it is striking to return to a theme that we saw in Ong and partially in the Hesfeld piece from last week- the mobilization of stereotypes of the other in order to obtain at least short term resources. There is even a nod to DuBois' concept of </w:t>
            </w:r>
            <w:r w:rsidRPr="00000000" w:rsidR="00000000" w:rsidDel="00000000">
              <w:rPr>
                <w:i w:val="1"/>
                <w:highlight w:val="none"/>
                <w:rtl w:val="0"/>
              </w:rPr>
              <w:t xml:space="preserve">double consciousness</w:t>
            </w:r>
            <w:r w:rsidRPr="00000000" w:rsidR="00000000" w:rsidDel="00000000">
              <w:rPr>
                <w:highlight w:val="none"/>
                <w:rtl w:val="0"/>
              </w:rPr>
              <w:t xml:space="preserve"> to help us make sense of both why and how these youth are taking advantage of this. In a situation where the power of contacts is so disproportionately held by the non-African user on the other side of the connection, playing into stereotypes for the purposes of deceiving the user can be a fairly savvy trick. However, as Burrell points out, it also has the goal of reifying the exact stereotypes that youth in Ghana dislike and justify their action in the first place. Never the less, the stereotype is a structure of thought and structures of thought can be subverted by those who have an understanding of what they are coming against. Interestingly, the perspective of non-Africans to not think of the importance of making and maintaining international connections with these Youth or the misunderstanding of the social conventions of reciprocity within the Ghanaian context has the effect of subverting expectations as well. It seems, the blade cuts both ways, but in one direction, there is an intentional desire to subvert.</w:t>
            </w:r>
          </w:p>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jc w:val="left"/>
            </w:pPr>
            <w:r w:rsidRPr="00000000" w:rsidR="00000000" w:rsidDel="00000000">
              <w:rPr>
                <w:highlight w:val="none"/>
                <w:rtl w:val="0"/>
              </w:rPr>
              <w:t xml:space="preserve">Lastly: Two notes on what gets ‘seen’ as Ghanaian.</w:t>
            </w:r>
          </w:p>
          <w:p w:rsidP="00000000" w:rsidRPr="00000000" w:rsidR="00000000" w:rsidDel="00000000" w:rsidRDefault="00000000">
            <w:pPr>
              <w:spacing w:lineRule="auto" w:after="0" w:line="240" w:before="0"/>
              <w:ind w:left="0" w:firstLine="0" w:right="-15"/>
            </w:pPr>
            <w:hyperlink r:id="rId8">
              <w:r w:rsidRPr="00000000" w:rsidR="00000000" w:rsidDel="00000000">
                <w:rPr>
                  <w:color w:val="1155cc"/>
                  <w:highlight w:val="none"/>
                  <w:u w:val="single"/>
                  <w:rtl w:val="0"/>
                </w:rPr>
                <w:t xml:space="preserve">First</w:t>
              </w:r>
            </w:hyperlink>
            <w:r w:rsidRPr="00000000" w:rsidR="00000000" w:rsidDel="00000000">
              <w:rPr>
                <w:rtl w:val="0"/>
              </w:rPr>
            </w:r>
          </w:p>
          <w:p w:rsidP="00000000" w:rsidRPr="00000000" w:rsidR="00000000" w:rsidDel="00000000" w:rsidRDefault="00000000">
            <w:pPr>
              <w:spacing w:lineRule="auto" w:after="0" w:line="240" w:before="0"/>
              <w:ind w:left="0" w:firstLine="0" w:right="-15"/>
            </w:pPr>
            <w:hyperlink r:id="rId9">
              <w:r w:rsidRPr="00000000" w:rsidR="00000000" w:rsidDel="00000000">
                <w:rPr>
                  <w:color w:val="1155cc"/>
                  <w:highlight w:val="none"/>
                  <w:u w:val="single"/>
                  <w:rtl w:val="0"/>
                </w:rPr>
                <w:t xml:space="preserve">Second</w:t>
              </w:r>
            </w:hyperlink>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The path of Technology: https://docs.google.com/open?id=0B9OQ3voMrMR8RzdGaVNFbkNQOGs</w:t>
            </w:r>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Michael </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sz w:val="24"/>
                <w:highlight w:val="none"/>
                <w:rtl w:val="0"/>
              </w:rPr>
              <w:t xml:space="preserve">I found that issues of exclusion at the levels of human-machine interface and political economy, in contrast with the chapter about the UN sponsored World Summit on the Information Society, to illustrate a gap, methodological, in the consideration of the everyday as a significant site of study. On page 156, Burrell writes, “To analyze the everyday technology use in Ghana in a way similar to that of researchers studying technology [and popular culture] in advanced capitalist societies can seem frivolous an marginal in light of the widespread public representation, particularly within the media, of Africa as a continent in extreme crisis.” (the reproduction of this image by users in the book is also a significant area to explore the connections of everyday life to policy). She goes on to explain how Western researchers and WSIS attendants want to draw a two-dimensional portrait of ICT users in Ghana, interested mostly in the frame of activities that center around development. However, it seems that by not focusing on the everyday experiences of these “invisible users,” the issues of exclusion at multilevel of this material-semiotic analysis would be left out. Specifically, on page 63, Burrell examines the degrees of which “self-determination” are part of the “configuration of the users” when considering the design and influence on Ghanaian youth-users of “ignore,” “hide,” and “block” functions. And, at the other end of the spiral, on page 193, Burrell highlights functional limitations of the Internet, based on the region of use and Western based security measures: “In this email I was warned that I may have been the victim of a phishing scam presumably because my IP address on login resolved to a location in Ghana.”</w:t>
            </w:r>
          </w:p>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sz w:val="24"/>
                <w:highlight w:val="none"/>
                <w:rtl w:val="0"/>
              </w:rPr>
              <w:t xml:space="preserve">At the end of chapter 6, Burrell states that the possibilities for intervention are “numerous,” only that the ordering of stakeholders and beneficiary groups in the WSIS did not allow for possible interventions to be imagined. How is it that knowledge of the everyday can help to intervene around issues of access? Is this the right way to even think about access?  </w:t>
            </w:r>
          </w:p>
          <w:p w:rsidP="00000000" w:rsidRPr="00000000" w:rsidR="00000000" w:rsidDel="00000000" w:rsidRDefault="00000000">
            <w:pPr>
              <w:spacing w:lineRule="auto" w:after="0" w:line="240" w:before="0"/>
              <w:ind w:left="0" w:firstLine="0" w:right="-15"/>
            </w:pPr>
            <w:r w:rsidRPr="00000000" w:rsidR="00000000" w:rsidDel="00000000">
              <w:rPr>
                <w:rtl w:val="0"/>
              </w:rPr>
            </w:r>
          </w:p>
          <w:p w:rsidP="00000000" w:rsidRPr="00000000" w:rsidR="00000000" w:rsidDel="00000000" w:rsidRDefault="00000000">
            <w:pPr>
              <w:spacing w:lineRule="auto" w:after="0" w:line="240" w:before="0"/>
              <w:ind w:left="0" w:firstLine="0" w:right="-15"/>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Ellen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Burrel explored and brought up a lot within “Invisible Users”</w:t>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One particular thought was the concept of the “bricolage” and make-do, especially in terms of “break-downs” on page 14. Looking at how the Ghanaian jalopy is a composition of many elements, this brought to mind the “low-rider” culture and moding of technology—particularly the re-usability and continual fixing of cars, either due to breakdown or desire for modification. That the breakdown within the Ghanaian culture is the inevitable norm instead of the exception to the rule is intriguing to me—that there is a constant need of being prepared for this circumstance and having to think quickly to resolve the issue.</w:t>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Burrell’s work in the first 4 chapters to demonstrate that the Internet cafes cannot be fully understood as a “bounded space” (130) was relevant. I found particularly interesting the connection between technology and religion in the 4th chapter. There is a moment where Burrell talks about the act of praying over commodities to release their hold over the owner and incorporate them into the good world, thus releasing evil within them. This is an interesting contrast to our previous reading on the baptism of money and incantations/blessings over money—thus bringing money into a realm it should not belong. Conversely, blessing and bringing these commodities into the religious realm eradicates their evil.</w:t>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Within this context, the technology, and specifically that of the Internet, can be put to good use by being used to amplify the Christian message. So, the Internet and technology are not evil, but instead should be utilized by the Christian message. The flip side of this is when Gabby is utilizing the blessings/rituals of a priest to help along his internet dealings. This speaks to Burrel’s idea of religion as a technology which itself is reappropriated to help people realize a desire or hope, which I find pretty interesting.</w:t>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Plus, invisibility of the Muslim religion on the Internet AND its invisibility within the Ghanaian culture? Thoughts?</w:t>
            </w:r>
          </w:p>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15"/>
            </w:pPr>
            <w:r w:rsidRPr="00000000" w:rsidR="00000000" w:rsidDel="00000000">
              <w:rPr>
                <w:rFonts w:cs="Times New Roman" w:hAnsi="Times New Roman" w:eastAsia="Times New Roman" w:ascii="Times New Roman"/>
                <w:sz w:val="24"/>
                <w:highlight w:val="none"/>
                <w:rtl w:val="0"/>
              </w:rPr>
              <w:t xml:space="preserve">I also thought the stark reality of the youth as Involuntarily immobile and have an Indefinite postponement of adulthood as pretty powerful when talking about the importance and context of the internet cafes for them.</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Jalynn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highlight w:val="none"/>
                <w:rtl w:val="0"/>
              </w:rPr>
              <w:t xml:space="preserve">Burrel’s book was useless and misleading.  The reader walks away with more questions than answers.  For instance, what is the daily interaction with the internet in Ghana?  Do people look up movie times and weather reports.  Additionally, Burrel focused too much on the criminal element of the internet cafe.  The author does not mention anything about professional use of the internet such as online job applications or distance learning via the internet.  Also, the author only mentions two industries, the second hand computer trade and the scrap business.  The reader is left with the impression that there is no other successful technology industries in Ghana.  The author had space to answer some of these questions, while the chapter on the WSIS and religion was informative it was irrelevant considering the title of the book, </w:t>
            </w:r>
            <w:r w:rsidRPr="00000000" w:rsidR="00000000" w:rsidDel="00000000">
              <w:rPr>
                <w:highlight w:val="none"/>
                <w:u w:val="single"/>
                <w:rtl w:val="0"/>
              </w:rPr>
              <w:t xml:space="preserve">Invisible Users: Youth in the Internet Cafes of Urban Ghana</w:t>
            </w:r>
            <w:r w:rsidRPr="00000000" w:rsidR="00000000" w:rsidDel="00000000">
              <w:rPr>
                <w:highlight w:val="none"/>
                <w:rtl w:val="0"/>
              </w:rPr>
              <w:t xml:space="preserve">.</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5"/>
            </w:pPr>
            <w:r w:rsidRPr="00000000" w:rsidR="00000000" w:rsidDel="00000000">
              <w:rPr>
                <w:rtl w:val="0"/>
              </w:rPr>
            </w:r>
          </w:p>
        </w:tc>
      </w:tr>
    </w:tbl>
    <w:p w:rsidP="00000000" w:rsidRPr="00000000" w:rsidR="00000000" w:rsidDel="00000000" w:rsidRDefault="00000000">
      <w:pPr>
        <w:ind w:right="-15"/>
      </w:pPr>
      <w:r w:rsidRPr="00000000" w:rsidR="00000000" w:rsidDel="00000000">
        <w:rPr>
          <w:rtl w:val="0"/>
        </w:rPr>
      </w:r>
    </w:p>
    <w:sectPr>
      <w:pgSz w:w="12240" w:h="15840"/>
      <w:pgMar w:left="445.36082474226805" w:right="371.13402061855663"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40" w:before="0"/>
      <w:ind w:left="0" w:firstLine="0" w:right="-15"/>
      <w:jc w:val="left"/>
    </w:pPr>
    <w:rPr>
      <w:rFonts w:cs="Arial" w:hAnsi="Arial" w:eastAsia="Arial" w:ascii="Arial"/>
      <w:b w:val="0"/>
      <w:i w:val="0"/>
      <w:smallCaps w:val="0"/>
      <w:strike w:val="0"/>
      <w:color w:val="000000"/>
      <w:sz w:val="22"/>
      <w:highlight w:val="none"/>
      <w:u w:val="none"/>
      <w:vertAlign w:val="baseline"/>
    </w:rPr>
  </w:style>
  <w:style w:styleId="Heading1" w:type="paragraph">
    <w:name w:val="heading 1"/>
    <w:basedOn w:val="Normal"/>
    <w:next w:val="Normal"/>
    <w:pPr>
      <w:spacing w:lineRule="auto" w:after="120" w:before="480"/>
    </w:pPr>
    <w:rPr>
      <w:b w:val="1"/>
      <w:sz w:val="36"/>
      <w:highlight w:val="none"/>
    </w:rPr>
  </w:style>
  <w:style w:styleId="Heading2" w:type="paragraph">
    <w:name w:val="heading 2"/>
    <w:basedOn w:val="Normal"/>
    <w:next w:val="Normal"/>
    <w:pPr>
      <w:spacing w:lineRule="auto" w:after="80" w:before="360"/>
    </w:pPr>
    <w:rPr>
      <w:b w:val="1"/>
      <w:sz w:val="28"/>
      <w:highlight w:val="none"/>
    </w:rPr>
  </w:style>
  <w:style w:styleId="Heading3" w:type="paragraph">
    <w:name w:val="heading 3"/>
    <w:basedOn w:val="Normal"/>
    <w:next w:val="Normal"/>
    <w:pPr>
      <w:spacing w:lineRule="auto" w:after="80" w:before="280"/>
    </w:pPr>
    <w:rPr>
      <w:b w:val="1"/>
      <w:color w:val="666666"/>
      <w:sz w:val="24"/>
      <w:highlight w:val="none"/>
    </w:rPr>
  </w:style>
  <w:style w:styleId="Heading4" w:type="paragraph">
    <w:name w:val="heading 4"/>
    <w:basedOn w:val="Normal"/>
    <w:next w:val="Normal"/>
    <w:pPr>
      <w:spacing w:lineRule="auto" w:after="40" w:before="240"/>
    </w:pPr>
    <w:rPr>
      <w:i w:val="1"/>
      <w:color w:val="666666"/>
      <w:sz w:val="22"/>
      <w:highlight w:val="none"/>
    </w:rPr>
  </w:style>
  <w:style w:styleId="Heading5" w:type="paragraph">
    <w:name w:val="heading 5"/>
    <w:basedOn w:val="Normal"/>
    <w:next w:val="Normal"/>
    <w:pPr>
      <w:spacing w:lineRule="auto" w:after="40" w:before="220"/>
    </w:pPr>
    <w:rPr>
      <w:b w:val="1"/>
      <w:color w:val="666666"/>
      <w:sz w:val="20"/>
      <w:highlight w:val="none"/>
    </w:rPr>
  </w:style>
  <w:style w:styleId="Heading6" w:type="paragraph">
    <w:name w:val="heading 6"/>
    <w:basedOn w:val="Normal"/>
    <w:next w:val="Normal"/>
    <w:pPr>
      <w:spacing w:lineRule="auto" w:after="40" w:before="200"/>
    </w:pPr>
    <w:rPr>
      <w:i w:val="1"/>
      <w:color w:val="666666"/>
      <w:sz w:val="20"/>
      <w:highlight w:val="none"/>
    </w:rPr>
  </w:style>
  <w:style w:styleId="Title" w:type="paragraph">
    <w:name w:val="Title"/>
    <w:basedOn w:val="Normal"/>
    <w:next w:val="Normal"/>
    <w:pPr>
      <w:spacing w:lineRule="auto" w:after="120" w:before="480"/>
    </w:pPr>
    <w:rPr>
      <w:b w:val="1"/>
      <w:sz w:val="72"/>
      <w:highlight w:val="none"/>
    </w:rPr>
  </w:style>
  <w:style w:styleId="Subtitle" w:type="paragraph">
    <w:name w:val="Subtitle"/>
    <w:basedOn w:val="Normal"/>
    <w:next w:val="Normal"/>
    <w:pPr>
      <w:spacing w:lineRule="auto" w:after="80" w:before="360"/>
    </w:pPr>
    <w:rPr>
      <w:rFonts w:cs="Georgia" w:hAnsi="Georgia" w:eastAsia="Georgia" w:ascii="Georgia"/>
      <w:i w:val="1"/>
      <w:color w:val="666666"/>
      <w:sz w:val="48"/>
      <w:highlight w:val="none"/>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ttps://docs.google.com/open?id=0B9OQ3voMrMR8RkNpdm5iU3NIbGMhttps://docs.google.com/open?id=0B9OQ3voMrMR8RkNpdm5iU3NIbGM" Type="http://schemas.openxmlformats.org/officeDocument/2006/relationships/hyperlink" TargetMode="External" Id="rId9"/><Relationship Target="http://www.zillow.com/homes/for_rent/#/homes/for_rent/Troy-NY/41292_rid/42.739937,-73.66245,42.71932,-73.69498_rect/14_zm/" Type="http://schemas.openxmlformats.org/officeDocument/2006/relationships/hyperlink" TargetMode="External" Id="rId6"/><Relationship Target="http://youtu.be/GWlNzUUf7yc" Type="http://schemas.openxmlformats.org/officeDocument/2006/relationships/hyperlink" TargetMode="External" Id="rId5"/><Relationship Target="https://docs.google.com/open?id=0B9OQ3voMrMR8SWpIcVhOamY5b0U" Type="http://schemas.openxmlformats.org/officeDocument/2006/relationships/hyperlink" TargetMode="External" Id="rId8"/><Relationship Target="http://www.dailymotion.com/video/xljaua_ted-talk-ze-frank-s-nerdcore-comedy_school"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RESTS discussion 10/19.docx</dc:title>
</cp:coreProperties>
</file>